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48" w:rsidRPr="00A8316B" w:rsidRDefault="00020948" w:rsidP="00020948">
      <w:pPr>
        <w:jc w:val="center"/>
        <w:rPr>
          <w:rStyle w:val="Emphasis"/>
          <w:b/>
          <w:sz w:val="28"/>
          <w:szCs w:val="28"/>
        </w:rPr>
      </w:pPr>
      <w:bookmarkStart w:id="0" w:name="_GoBack"/>
      <w:bookmarkEnd w:id="0"/>
      <w:r w:rsidRPr="00A8316B">
        <w:rPr>
          <w:b/>
          <w:sz w:val="28"/>
          <w:szCs w:val="28"/>
        </w:rPr>
        <w:t>Secondary (Grades 6-12) Teaching Licensure Courses and Mentoring/Supervision</w:t>
      </w:r>
    </w:p>
    <w:p w:rsidR="00020948" w:rsidRPr="00A8316B" w:rsidRDefault="00020948" w:rsidP="0002094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232"/>
      </w:tblGrid>
      <w:tr w:rsidR="00020948" w:rsidTr="00BE7867">
        <w:tc>
          <w:tcPr>
            <w:tcW w:w="8118" w:type="dxa"/>
          </w:tcPr>
          <w:p w:rsidR="00020948" w:rsidRPr="00020948" w:rsidRDefault="00020948" w:rsidP="00BE7867">
            <w:pPr>
              <w:jc w:val="center"/>
              <w:rPr>
                <w:b/>
                <w:szCs w:val="24"/>
              </w:rPr>
            </w:pPr>
            <w:r w:rsidRPr="00020948">
              <w:rPr>
                <w:b/>
                <w:szCs w:val="24"/>
                <w:lang w:val="en-CA"/>
              </w:rPr>
              <w:fldChar w:fldCharType="begin"/>
            </w:r>
            <w:r w:rsidRPr="00020948">
              <w:rPr>
                <w:b/>
                <w:szCs w:val="24"/>
                <w:lang w:val="en-CA"/>
              </w:rPr>
              <w:instrText xml:space="preserve"> SEQ CHAPTER \h \r 1</w:instrText>
            </w:r>
            <w:r w:rsidRPr="00020948">
              <w:rPr>
                <w:b/>
                <w:szCs w:val="24"/>
                <w:lang w:val="en-CA"/>
              </w:rPr>
              <w:fldChar w:fldCharType="end"/>
            </w:r>
            <w:r w:rsidRPr="00020948">
              <w:rPr>
                <w:b/>
                <w:szCs w:val="24"/>
                <w:lang w:val="en-CA"/>
              </w:rPr>
              <w:t xml:space="preserve">Required </w:t>
            </w:r>
            <w:r w:rsidRPr="00020948">
              <w:rPr>
                <w:b/>
                <w:szCs w:val="24"/>
              </w:rPr>
              <w:t>Courses:</w:t>
            </w:r>
          </w:p>
          <w:p w:rsidR="00020948" w:rsidRPr="00906087" w:rsidRDefault="00020948" w:rsidP="00BE7867">
            <w:pPr>
              <w:rPr>
                <w:b/>
                <w:sz w:val="20"/>
              </w:rPr>
            </w:pPr>
            <w:r w:rsidRPr="00906087">
              <w:rPr>
                <w:b/>
                <w:sz w:val="20"/>
              </w:rPr>
              <w:t>Foundations courses:</w:t>
            </w:r>
          </w:p>
          <w:p w:rsidR="00020948" w:rsidRPr="00EC6FF6" w:rsidRDefault="00020948" w:rsidP="00BE7867">
            <w:pPr>
              <w:rPr>
                <w:b/>
                <w:sz w:val="20"/>
              </w:rPr>
            </w:pPr>
            <w:r w:rsidRPr="00906087">
              <w:rPr>
                <w:sz w:val="20"/>
              </w:rPr>
              <w:t xml:space="preserve">6110–Introduction to Classroom Management (3)  </w:t>
            </w:r>
            <w:r w:rsidRPr="00906087">
              <w:rPr>
                <w:b/>
                <w:sz w:val="20"/>
              </w:rPr>
              <w:t>or</w:t>
            </w:r>
            <w:r>
              <w:rPr>
                <w:b/>
                <w:sz w:val="20"/>
              </w:rPr>
              <w:t xml:space="preserve"> </w:t>
            </w:r>
            <w:r>
              <w:rPr>
                <w:sz w:val="20"/>
              </w:rPr>
              <w:t>6120-</w:t>
            </w:r>
            <w:r w:rsidRPr="00906087">
              <w:rPr>
                <w:sz w:val="20"/>
              </w:rPr>
              <w:t>Advanced Classroom Management (3)</w:t>
            </w:r>
          </w:p>
          <w:p w:rsidR="00020948" w:rsidRPr="00906087" w:rsidRDefault="00020948" w:rsidP="00BE7867">
            <w:pPr>
              <w:rPr>
                <w:sz w:val="20"/>
              </w:rPr>
            </w:pPr>
            <w:r w:rsidRPr="00906087">
              <w:rPr>
                <w:sz w:val="20"/>
              </w:rPr>
              <w:t>6050–Curriculum Design, Evaluation, Assessment (3)</w:t>
            </w:r>
          </w:p>
          <w:p w:rsidR="00020948" w:rsidRDefault="00020948" w:rsidP="00BE7867">
            <w:pPr>
              <w:rPr>
                <w:sz w:val="20"/>
              </w:rPr>
            </w:pPr>
            <w:r w:rsidRPr="00906087">
              <w:rPr>
                <w:sz w:val="20"/>
              </w:rPr>
              <w:t>6020–Diversity in Education (2)</w:t>
            </w:r>
          </w:p>
          <w:p w:rsidR="00020948" w:rsidRDefault="00020948" w:rsidP="00BE7867">
            <w:pPr>
              <w:rPr>
                <w:b/>
                <w:sz w:val="20"/>
              </w:rPr>
            </w:pPr>
          </w:p>
          <w:p w:rsidR="00020948" w:rsidRPr="00E131D3" w:rsidRDefault="00020948" w:rsidP="00BE7867">
            <w:pPr>
              <w:rPr>
                <w:b/>
                <w:sz w:val="20"/>
              </w:rPr>
            </w:pPr>
            <w:r>
              <w:rPr>
                <w:b/>
                <w:sz w:val="20"/>
              </w:rPr>
              <w:t>Teaching methods courses:</w:t>
            </w:r>
          </w:p>
          <w:p w:rsidR="00020948" w:rsidRPr="00906087" w:rsidRDefault="00020948" w:rsidP="00BE7867">
            <w:pPr>
              <w:rPr>
                <w:sz w:val="20"/>
              </w:rPr>
            </w:pPr>
            <w:r w:rsidRPr="00906087">
              <w:rPr>
                <w:sz w:val="20"/>
              </w:rPr>
              <w:t>6320–Content Area Literacy Instruction (3)</w:t>
            </w:r>
          </w:p>
          <w:p w:rsidR="00020948" w:rsidRPr="00906087" w:rsidRDefault="00020948" w:rsidP="00BE7867">
            <w:pPr>
              <w:rPr>
                <w:sz w:val="20"/>
              </w:rPr>
            </w:pPr>
            <w:r>
              <w:rPr>
                <w:sz w:val="20"/>
              </w:rPr>
              <w:t>6265</w:t>
            </w:r>
            <w:r w:rsidRPr="00906087">
              <w:rPr>
                <w:sz w:val="20"/>
              </w:rPr>
              <w:t xml:space="preserve">–Foundations in </w:t>
            </w:r>
            <w:r>
              <w:rPr>
                <w:sz w:val="20"/>
              </w:rPr>
              <w:t>Inclusive Teaching</w:t>
            </w:r>
            <w:r w:rsidRPr="00906087">
              <w:rPr>
                <w:sz w:val="20"/>
              </w:rPr>
              <w:t xml:space="preserve"> (</w:t>
            </w:r>
            <w:r>
              <w:rPr>
                <w:sz w:val="20"/>
              </w:rPr>
              <w:t>2</w:t>
            </w:r>
            <w:r w:rsidRPr="00906087">
              <w:rPr>
                <w:sz w:val="20"/>
              </w:rPr>
              <w:t>)</w:t>
            </w:r>
          </w:p>
          <w:p w:rsidR="00020948" w:rsidRDefault="00020948" w:rsidP="00BE7867">
            <w:pPr>
              <w:rPr>
                <w:sz w:val="20"/>
              </w:rPr>
            </w:pPr>
            <w:r w:rsidRPr="00906087">
              <w:rPr>
                <w:sz w:val="20"/>
              </w:rPr>
              <w:t>6060–Instructional Strategies (2)</w:t>
            </w:r>
          </w:p>
          <w:p w:rsidR="00020948" w:rsidRPr="005F3A50" w:rsidRDefault="00020948" w:rsidP="00BE7867">
            <w:pPr>
              <w:rPr>
                <w:sz w:val="18"/>
                <w:szCs w:val="18"/>
              </w:rPr>
            </w:pPr>
            <w:r>
              <w:rPr>
                <w:sz w:val="20"/>
              </w:rPr>
              <w:t xml:space="preserve">6229-Instructional Technology for Pre-Service Teachers (2) </w:t>
            </w:r>
          </w:p>
          <w:p w:rsidR="00020948" w:rsidRPr="000F4243" w:rsidRDefault="00020948" w:rsidP="00BE7867">
            <w:pPr>
              <w:rPr>
                <w:b/>
              </w:rPr>
            </w:pPr>
            <w:r w:rsidRPr="000F4243">
              <w:rPr>
                <w:b/>
                <w:i/>
                <w:sz w:val="20"/>
              </w:rPr>
              <w:t>Teaching methods course</w:t>
            </w:r>
            <w:r>
              <w:rPr>
                <w:b/>
                <w:i/>
                <w:sz w:val="20"/>
              </w:rPr>
              <w:t>(s)</w:t>
            </w:r>
            <w:r w:rsidRPr="000F4243">
              <w:rPr>
                <w:b/>
                <w:i/>
                <w:sz w:val="20"/>
              </w:rPr>
              <w:t xml:space="preserve"> in subject area – required as part of the program of study. </w:t>
            </w:r>
          </w:p>
        </w:tc>
        <w:tc>
          <w:tcPr>
            <w:tcW w:w="1232" w:type="dxa"/>
            <w:vAlign w:val="center"/>
          </w:tcPr>
          <w:p w:rsidR="00020948" w:rsidRPr="008F0B2E" w:rsidRDefault="00020948" w:rsidP="00BE7867">
            <w:pPr>
              <w:rPr>
                <w:sz w:val="20"/>
              </w:rPr>
            </w:pPr>
          </w:p>
          <w:p w:rsidR="00020948" w:rsidRPr="00E131D3" w:rsidRDefault="00020948" w:rsidP="00BE7867">
            <w:pPr>
              <w:jc w:val="center"/>
              <w:rPr>
                <w:sz w:val="20"/>
              </w:rPr>
            </w:pPr>
            <w:r w:rsidRPr="00E131D3">
              <w:rPr>
                <w:sz w:val="20"/>
              </w:rPr>
              <w:t xml:space="preserve">17 hours </w:t>
            </w:r>
            <w:r w:rsidRPr="00E131D3">
              <w:rPr>
                <w:b/>
                <w:sz w:val="20"/>
              </w:rPr>
              <w:t>and</w:t>
            </w:r>
            <w:r w:rsidRPr="00E131D3">
              <w:rPr>
                <w:sz w:val="20"/>
              </w:rPr>
              <w:t xml:space="preserve"> </w:t>
            </w:r>
            <w:r w:rsidRPr="00020948">
              <w:rPr>
                <w:b/>
                <w:sz w:val="20"/>
              </w:rPr>
              <w:t>methods course(s)*  as required by subject dept.</w:t>
            </w:r>
            <w:r w:rsidRPr="005452A3">
              <w:rPr>
                <w:color w:val="FF0000"/>
                <w:sz w:val="20"/>
              </w:rPr>
              <w:t xml:space="preserve"> </w:t>
            </w:r>
            <w:r>
              <w:rPr>
                <w:sz w:val="20"/>
              </w:rPr>
              <w:t>+ practicum and student teaching</w:t>
            </w:r>
          </w:p>
        </w:tc>
      </w:tr>
      <w:tr w:rsidR="00020948" w:rsidRPr="00544E93" w:rsidTr="00BE7867">
        <w:tc>
          <w:tcPr>
            <w:tcW w:w="9350" w:type="dxa"/>
            <w:gridSpan w:val="2"/>
          </w:tcPr>
          <w:p w:rsidR="00020948" w:rsidRPr="00020948" w:rsidRDefault="00020948" w:rsidP="00BE7867">
            <w:pPr>
              <w:jc w:val="center"/>
              <w:rPr>
                <w:b/>
                <w:szCs w:val="24"/>
              </w:rPr>
            </w:pPr>
            <w:r w:rsidRPr="00020948">
              <w:rPr>
                <w:b/>
                <w:szCs w:val="24"/>
                <w:lang w:val="en-CA"/>
              </w:rPr>
              <w:t xml:space="preserve">Required </w:t>
            </w:r>
            <w:r w:rsidRPr="00020948">
              <w:rPr>
                <w:b/>
                <w:szCs w:val="24"/>
                <w:lang w:val="en-CA"/>
              </w:rPr>
              <w:fldChar w:fldCharType="begin"/>
            </w:r>
            <w:r w:rsidRPr="00020948">
              <w:rPr>
                <w:b/>
                <w:szCs w:val="24"/>
                <w:lang w:val="en-CA"/>
              </w:rPr>
              <w:instrText xml:space="preserve"> SEQ CHAPTER \h \r 1</w:instrText>
            </w:r>
            <w:r w:rsidRPr="00020948">
              <w:rPr>
                <w:b/>
                <w:szCs w:val="24"/>
                <w:lang w:val="en-CA"/>
              </w:rPr>
              <w:fldChar w:fldCharType="end"/>
            </w:r>
            <w:r w:rsidRPr="00020948">
              <w:rPr>
                <w:b/>
                <w:szCs w:val="24"/>
              </w:rPr>
              <w:t>Mentoring, Supervision, and Field Work:</w:t>
            </w:r>
          </w:p>
          <w:p w:rsidR="00020948" w:rsidRPr="00906087" w:rsidRDefault="00020948" w:rsidP="00BE7867">
            <w:pPr>
              <w:jc w:val="center"/>
              <w:rPr>
                <w:sz w:val="20"/>
              </w:rPr>
            </w:pPr>
            <w:r w:rsidRPr="00906087">
              <w:rPr>
                <w:sz w:val="20"/>
              </w:rPr>
              <w:t xml:space="preserve">(These credits do </w:t>
            </w:r>
            <w:r w:rsidRPr="00906087">
              <w:rPr>
                <w:b/>
                <w:bCs/>
                <w:sz w:val="20"/>
              </w:rPr>
              <w:t>not</w:t>
            </w:r>
            <w:r w:rsidRPr="00906087">
              <w:rPr>
                <w:sz w:val="20"/>
              </w:rPr>
              <w:t xml:space="preserve"> count towards a master’s degree</w:t>
            </w:r>
            <w:r>
              <w:rPr>
                <w:sz w:val="20"/>
              </w:rPr>
              <w:t xml:space="preserve"> </w:t>
            </w:r>
            <w:r w:rsidRPr="00906087">
              <w:rPr>
                <w:sz w:val="20"/>
              </w:rPr>
              <w:t>but are part of the requirements for licensure.)</w:t>
            </w:r>
          </w:p>
          <w:p w:rsidR="00020948" w:rsidRPr="00906087" w:rsidRDefault="00020948" w:rsidP="00BE7867">
            <w:pPr>
              <w:rPr>
                <w:b/>
                <w:sz w:val="20"/>
              </w:rPr>
            </w:pPr>
          </w:p>
          <w:p w:rsidR="00020948" w:rsidRPr="00906087" w:rsidRDefault="00020948" w:rsidP="00BE7867">
            <w:pPr>
              <w:rPr>
                <w:sz w:val="20"/>
              </w:rPr>
            </w:pPr>
            <w:r>
              <w:rPr>
                <w:sz w:val="20"/>
              </w:rPr>
              <w:t>MED 6</w:t>
            </w:r>
            <w:r w:rsidRPr="00906087">
              <w:rPr>
                <w:sz w:val="20"/>
              </w:rPr>
              <w:t xml:space="preserve">860–Practicum in Education (2) </w:t>
            </w:r>
          </w:p>
          <w:p w:rsidR="00020948" w:rsidRPr="00906087" w:rsidRDefault="00020948" w:rsidP="00BE7867">
            <w:pPr>
              <w:rPr>
                <w:sz w:val="20"/>
              </w:rPr>
            </w:pPr>
            <w:r w:rsidRPr="00906087">
              <w:rPr>
                <w:sz w:val="20"/>
              </w:rPr>
              <w:t xml:space="preserve">Complete a practicum of at least 60 clock hours in a school setting </w:t>
            </w:r>
            <w:r>
              <w:rPr>
                <w:sz w:val="20"/>
              </w:rPr>
              <w:t>at least one semester prior to student teaching.</w:t>
            </w:r>
          </w:p>
          <w:p w:rsidR="00020948" w:rsidRPr="00906087" w:rsidRDefault="00020948" w:rsidP="00BE7867">
            <w:pPr>
              <w:rPr>
                <w:sz w:val="20"/>
              </w:rPr>
            </w:pPr>
          </w:p>
          <w:p w:rsidR="00020948" w:rsidRPr="00906087" w:rsidRDefault="00020948" w:rsidP="00BE7867">
            <w:pPr>
              <w:rPr>
                <w:b/>
                <w:sz w:val="20"/>
              </w:rPr>
            </w:pPr>
            <w:r>
              <w:rPr>
                <w:b/>
                <w:sz w:val="20"/>
              </w:rPr>
              <w:t>AND</w:t>
            </w:r>
          </w:p>
          <w:p w:rsidR="00020948" w:rsidRPr="00906087" w:rsidRDefault="00020948" w:rsidP="00BE7867">
            <w:pPr>
              <w:rPr>
                <w:sz w:val="20"/>
              </w:rPr>
            </w:pPr>
          </w:p>
          <w:p w:rsidR="00020948" w:rsidRPr="00906087" w:rsidRDefault="00020948" w:rsidP="00BE7867">
            <w:pPr>
              <w:rPr>
                <w:sz w:val="20"/>
              </w:rPr>
            </w:pPr>
            <w:r>
              <w:rPr>
                <w:sz w:val="20"/>
              </w:rPr>
              <w:t>MED 6</w:t>
            </w:r>
            <w:r w:rsidRPr="00906087">
              <w:rPr>
                <w:sz w:val="20"/>
              </w:rPr>
              <w:t>880–Student Teaching in Secondary Education (6)</w:t>
            </w:r>
          </w:p>
          <w:p w:rsidR="00020948" w:rsidRDefault="00020948" w:rsidP="00BE7867">
            <w:pPr>
              <w:tabs>
                <w:tab w:val="left" w:pos="7467"/>
              </w:tabs>
              <w:rPr>
                <w:sz w:val="20"/>
              </w:rPr>
            </w:pPr>
            <w:r w:rsidRPr="00906087">
              <w:rPr>
                <w:sz w:val="20"/>
              </w:rPr>
              <w:t>Complete student teaching (all day</w:t>
            </w:r>
            <w:r>
              <w:rPr>
                <w:sz w:val="20"/>
              </w:rPr>
              <w:t xml:space="preserve">, every day </w:t>
            </w:r>
            <w:r w:rsidRPr="00906087">
              <w:rPr>
                <w:sz w:val="20"/>
              </w:rPr>
              <w:t xml:space="preserve">for </w:t>
            </w:r>
            <w:r>
              <w:rPr>
                <w:sz w:val="20"/>
              </w:rPr>
              <w:t>6</w:t>
            </w:r>
            <w:r w:rsidRPr="00906087">
              <w:rPr>
                <w:sz w:val="20"/>
              </w:rPr>
              <w:t>0 days) with an assigned cooperating teacher</w:t>
            </w:r>
            <w:r>
              <w:rPr>
                <w:sz w:val="20"/>
              </w:rPr>
              <w:t xml:space="preserve">. </w:t>
            </w:r>
          </w:p>
          <w:p w:rsidR="00020948" w:rsidRDefault="00020948" w:rsidP="00BE7867">
            <w:pPr>
              <w:tabs>
                <w:tab w:val="left" w:pos="7467"/>
              </w:tabs>
              <w:rPr>
                <w:color w:val="FF0000"/>
                <w:sz w:val="20"/>
              </w:rPr>
            </w:pPr>
          </w:p>
          <w:p w:rsidR="00020948" w:rsidRPr="003747E0" w:rsidRDefault="00020948" w:rsidP="00BE7867">
            <w:pPr>
              <w:tabs>
                <w:tab w:val="left" w:pos="7467"/>
              </w:tabs>
              <w:rPr>
                <w:sz w:val="20"/>
              </w:rPr>
            </w:pPr>
            <w:r w:rsidRPr="00020948">
              <w:rPr>
                <w:b/>
                <w:sz w:val="20"/>
              </w:rPr>
              <w:t>Please note:</w:t>
            </w:r>
            <w:r w:rsidRPr="00020948">
              <w:rPr>
                <w:sz w:val="20"/>
              </w:rPr>
              <w:t xml:space="preserve"> </w:t>
            </w:r>
            <w:r w:rsidRPr="003747E0">
              <w:rPr>
                <w:sz w:val="20"/>
              </w:rPr>
              <w:t xml:space="preserve">Deadlines for student teaching are in September for the following spring semester and in January for the following fall semester (yes, this is very early!). Coursework must be completed before student teaching. </w:t>
            </w:r>
          </w:p>
        </w:tc>
      </w:tr>
      <w:tr w:rsidR="00020948" w:rsidRPr="00EC6FF6" w:rsidTr="00BE7867">
        <w:trPr>
          <w:trHeight w:val="512"/>
        </w:trPr>
        <w:tc>
          <w:tcPr>
            <w:tcW w:w="9350" w:type="dxa"/>
            <w:gridSpan w:val="2"/>
          </w:tcPr>
          <w:p w:rsidR="00020948" w:rsidRPr="00EC6FF6" w:rsidRDefault="00020948" w:rsidP="00BE7867">
            <w:pPr>
              <w:rPr>
                <w:sz w:val="20"/>
              </w:rPr>
            </w:pPr>
            <w:r>
              <w:rPr>
                <w:b/>
                <w:sz w:val="20"/>
                <w:lang w:val="en-CA"/>
              </w:rPr>
              <w:t>S</w:t>
            </w:r>
            <w:r w:rsidRPr="00906087">
              <w:rPr>
                <w:b/>
                <w:sz w:val="20"/>
                <w:lang w:val="en-CA"/>
              </w:rPr>
              <w:fldChar w:fldCharType="begin"/>
            </w:r>
            <w:r w:rsidRPr="00906087">
              <w:rPr>
                <w:b/>
                <w:sz w:val="20"/>
                <w:lang w:val="en-CA"/>
              </w:rPr>
              <w:instrText xml:space="preserve"> SEQ CHAPTER \h \r 1</w:instrText>
            </w:r>
            <w:r w:rsidRPr="00906087">
              <w:rPr>
                <w:b/>
                <w:sz w:val="20"/>
                <w:lang w:val="en-CA"/>
              </w:rPr>
              <w:fldChar w:fldCharType="end"/>
            </w:r>
            <w:proofErr w:type="spellStart"/>
            <w:r w:rsidRPr="00906087">
              <w:rPr>
                <w:b/>
                <w:sz w:val="20"/>
              </w:rPr>
              <w:t>uccessfully</w:t>
            </w:r>
            <w:proofErr w:type="spellEnd"/>
            <w:r w:rsidRPr="00906087">
              <w:rPr>
                <w:b/>
                <w:sz w:val="20"/>
              </w:rPr>
              <w:t xml:space="preserve"> complet</w:t>
            </w:r>
            <w:r>
              <w:rPr>
                <w:b/>
                <w:sz w:val="20"/>
              </w:rPr>
              <w:t>ing</w:t>
            </w:r>
            <w:r w:rsidRPr="00906087">
              <w:rPr>
                <w:b/>
                <w:sz w:val="20"/>
              </w:rPr>
              <w:t xml:space="preserve"> coursework, </w:t>
            </w:r>
            <w:r>
              <w:rPr>
                <w:b/>
                <w:sz w:val="20"/>
              </w:rPr>
              <w:t>p</w:t>
            </w:r>
            <w:r w:rsidRPr="00906087">
              <w:rPr>
                <w:b/>
                <w:sz w:val="20"/>
              </w:rPr>
              <w:t xml:space="preserve">racticum, </w:t>
            </w:r>
            <w:r>
              <w:rPr>
                <w:b/>
                <w:sz w:val="20"/>
              </w:rPr>
              <w:t xml:space="preserve">Praxis subject test, </w:t>
            </w:r>
            <w:r w:rsidRPr="00906087">
              <w:rPr>
                <w:b/>
                <w:sz w:val="20"/>
              </w:rPr>
              <w:t xml:space="preserve">and </w:t>
            </w:r>
            <w:r>
              <w:rPr>
                <w:b/>
                <w:sz w:val="20"/>
              </w:rPr>
              <w:t>s</w:t>
            </w:r>
            <w:r w:rsidRPr="00906087">
              <w:rPr>
                <w:b/>
                <w:sz w:val="20"/>
              </w:rPr>
              <w:t xml:space="preserve">tudent </w:t>
            </w:r>
            <w:r>
              <w:rPr>
                <w:b/>
                <w:sz w:val="20"/>
              </w:rPr>
              <w:t>t</w:t>
            </w:r>
            <w:r w:rsidRPr="00906087">
              <w:rPr>
                <w:b/>
                <w:sz w:val="20"/>
              </w:rPr>
              <w:t xml:space="preserve">eaching </w:t>
            </w:r>
            <w:r>
              <w:rPr>
                <w:b/>
                <w:sz w:val="20"/>
              </w:rPr>
              <w:t>will result in a</w:t>
            </w:r>
            <w:r w:rsidRPr="00906087">
              <w:rPr>
                <w:b/>
                <w:sz w:val="20"/>
              </w:rPr>
              <w:t xml:space="preserve"> Utah Level 1 </w:t>
            </w:r>
            <w:r>
              <w:rPr>
                <w:b/>
                <w:sz w:val="20"/>
              </w:rPr>
              <w:t xml:space="preserve">Teaching </w:t>
            </w:r>
            <w:r w:rsidRPr="00906087">
              <w:rPr>
                <w:b/>
                <w:sz w:val="20"/>
              </w:rPr>
              <w:t>License</w:t>
            </w:r>
            <w:r>
              <w:rPr>
                <w:b/>
                <w:sz w:val="20"/>
              </w:rPr>
              <w:t>.</w:t>
            </w:r>
          </w:p>
        </w:tc>
      </w:tr>
    </w:tbl>
    <w:p w:rsidR="006325B9" w:rsidRDefault="00020948" w:rsidP="00020948">
      <w:r>
        <w:t>*Secondary teaching methods courses can add up to seven (7) extra credits to the program.  These courses cannot be waived.</w:t>
      </w:r>
    </w:p>
    <w:p w:rsidR="00020948" w:rsidRDefault="00020948" w:rsidP="00020948"/>
    <w:tbl>
      <w:tblPr>
        <w:tblStyle w:val="TableGrid"/>
        <w:tblW w:w="0" w:type="auto"/>
        <w:tblLook w:val="04A0" w:firstRow="1" w:lastRow="0" w:firstColumn="1" w:lastColumn="0" w:noHBand="0" w:noVBand="1"/>
      </w:tblPr>
      <w:tblGrid>
        <w:gridCol w:w="2155"/>
        <w:gridCol w:w="2621"/>
        <w:gridCol w:w="1789"/>
        <w:gridCol w:w="2785"/>
      </w:tblGrid>
      <w:tr w:rsidR="00020948" w:rsidTr="00BE7867">
        <w:tc>
          <w:tcPr>
            <w:tcW w:w="9350" w:type="dxa"/>
            <w:gridSpan w:val="4"/>
          </w:tcPr>
          <w:p w:rsidR="00020948" w:rsidRPr="00020948" w:rsidRDefault="00020948" w:rsidP="00BE7867">
            <w:pPr>
              <w:jc w:val="center"/>
              <w:rPr>
                <w:b/>
              </w:rPr>
            </w:pPr>
            <w:r w:rsidRPr="00020948">
              <w:rPr>
                <w:b/>
              </w:rPr>
              <w:t>*</w:t>
            </w:r>
            <w:r w:rsidRPr="00020948">
              <w:rPr>
                <w:b/>
                <w:sz w:val="22"/>
                <w:szCs w:val="22"/>
              </w:rPr>
              <w:t>Acceptable Content Methods Courses Taught at WSU</w:t>
            </w:r>
          </w:p>
        </w:tc>
      </w:tr>
      <w:tr w:rsidR="00020948" w:rsidRPr="00E37ED7" w:rsidTr="00020948">
        <w:tc>
          <w:tcPr>
            <w:tcW w:w="2155" w:type="dxa"/>
          </w:tcPr>
          <w:p w:rsidR="00020948" w:rsidRPr="00020948" w:rsidRDefault="00020948" w:rsidP="00BE7867">
            <w:r w:rsidRPr="00020948">
              <w:t>Art</w:t>
            </w:r>
          </w:p>
        </w:tc>
        <w:tc>
          <w:tcPr>
            <w:tcW w:w="2621" w:type="dxa"/>
          </w:tcPr>
          <w:p w:rsidR="00020948" w:rsidRPr="00020948" w:rsidRDefault="00020948" w:rsidP="00BE7867">
            <w:r w:rsidRPr="00020948">
              <w:t>ART 3515 and/or ART 3520</w:t>
            </w:r>
          </w:p>
        </w:tc>
        <w:tc>
          <w:tcPr>
            <w:tcW w:w="1789" w:type="dxa"/>
          </w:tcPr>
          <w:p w:rsidR="00020948" w:rsidRPr="00020948" w:rsidRDefault="00020948" w:rsidP="00BE7867">
            <w:r w:rsidRPr="00020948">
              <w:t>Mathematics</w:t>
            </w:r>
          </w:p>
        </w:tc>
        <w:tc>
          <w:tcPr>
            <w:tcW w:w="2785" w:type="dxa"/>
          </w:tcPr>
          <w:p w:rsidR="00020948" w:rsidRPr="00020948" w:rsidRDefault="00020948" w:rsidP="00BE7867">
            <w:r w:rsidRPr="00020948">
              <w:t>MTHE 3010</w:t>
            </w:r>
          </w:p>
        </w:tc>
      </w:tr>
      <w:tr w:rsidR="00020948" w:rsidRPr="0075364E" w:rsidTr="00020948">
        <w:tc>
          <w:tcPr>
            <w:tcW w:w="2155" w:type="dxa"/>
          </w:tcPr>
          <w:p w:rsidR="00020948" w:rsidRPr="00020948" w:rsidRDefault="00020948" w:rsidP="00BE7867">
            <w:r w:rsidRPr="00020948">
              <w:t>Business Education</w:t>
            </w:r>
          </w:p>
        </w:tc>
        <w:tc>
          <w:tcPr>
            <w:tcW w:w="2621" w:type="dxa"/>
          </w:tcPr>
          <w:p w:rsidR="00020948" w:rsidRPr="00020948" w:rsidRDefault="00020948" w:rsidP="00BE7867">
            <w:r w:rsidRPr="00020948">
              <w:t>NTM 6610</w:t>
            </w:r>
          </w:p>
        </w:tc>
        <w:tc>
          <w:tcPr>
            <w:tcW w:w="1789" w:type="dxa"/>
          </w:tcPr>
          <w:p w:rsidR="00020948" w:rsidRPr="00020948" w:rsidRDefault="00020948" w:rsidP="00BE7867">
            <w:r w:rsidRPr="00020948">
              <w:t>Music</w:t>
            </w:r>
          </w:p>
        </w:tc>
        <w:tc>
          <w:tcPr>
            <w:tcW w:w="2785" w:type="dxa"/>
          </w:tcPr>
          <w:p w:rsidR="00020948" w:rsidRPr="00020948" w:rsidRDefault="00020948" w:rsidP="00BE7867">
            <w:r w:rsidRPr="00020948">
              <w:t>MUSC 4822 or MUSC 4842</w:t>
            </w:r>
          </w:p>
        </w:tc>
      </w:tr>
      <w:tr w:rsidR="00020948" w:rsidRPr="00E37ED7" w:rsidTr="00020948">
        <w:tc>
          <w:tcPr>
            <w:tcW w:w="2155" w:type="dxa"/>
          </w:tcPr>
          <w:p w:rsidR="00020948" w:rsidRPr="00020948" w:rsidRDefault="00020948" w:rsidP="00BE7867">
            <w:r w:rsidRPr="00020948">
              <w:t>Communication</w:t>
            </w:r>
          </w:p>
        </w:tc>
        <w:tc>
          <w:tcPr>
            <w:tcW w:w="2621" w:type="dxa"/>
          </w:tcPr>
          <w:p w:rsidR="00020948" w:rsidRPr="00020948" w:rsidRDefault="002A3306" w:rsidP="00BE7867">
            <w:hyperlink r:id="rId5" w:history="1">
              <w:r w:rsidR="00020948" w:rsidRPr="00020948">
                <w:rPr>
                  <w:bdr w:val="none" w:sz="0" w:space="0" w:color="auto" w:frame="1"/>
                  <w:shd w:val="clear" w:color="auto" w:fill="FFFFFF"/>
                </w:rPr>
                <w:t>COMM 4850</w:t>
              </w:r>
            </w:hyperlink>
          </w:p>
        </w:tc>
        <w:tc>
          <w:tcPr>
            <w:tcW w:w="1789" w:type="dxa"/>
          </w:tcPr>
          <w:p w:rsidR="00020948" w:rsidRPr="00020948" w:rsidRDefault="00020948" w:rsidP="00BE7867">
            <w:r w:rsidRPr="00020948">
              <w:t>Physical Education</w:t>
            </w:r>
          </w:p>
        </w:tc>
        <w:tc>
          <w:tcPr>
            <w:tcW w:w="2785" w:type="dxa"/>
          </w:tcPr>
          <w:p w:rsidR="00020948" w:rsidRPr="00020948" w:rsidRDefault="00020948" w:rsidP="00BE7867">
            <w:r w:rsidRPr="00020948">
              <w:t>PEP 4700 and/or PEP 4710</w:t>
            </w:r>
          </w:p>
        </w:tc>
      </w:tr>
      <w:tr w:rsidR="00020948" w:rsidRPr="00E37ED7" w:rsidTr="00020948">
        <w:tc>
          <w:tcPr>
            <w:tcW w:w="2155" w:type="dxa"/>
          </w:tcPr>
          <w:p w:rsidR="00020948" w:rsidRPr="00020948" w:rsidRDefault="00020948" w:rsidP="00BE7867">
            <w:r w:rsidRPr="00020948">
              <w:t>English</w:t>
            </w:r>
          </w:p>
        </w:tc>
        <w:tc>
          <w:tcPr>
            <w:tcW w:w="2621" w:type="dxa"/>
          </w:tcPr>
          <w:p w:rsidR="00020948" w:rsidRPr="00020948" w:rsidRDefault="002A3306" w:rsidP="00020948">
            <w:pPr>
              <w:numPr>
                <w:ilvl w:val="0"/>
                <w:numId w:val="1"/>
              </w:numPr>
              <w:ind w:left="0"/>
              <w:textAlignment w:val="baseline"/>
            </w:pPr>
            <w:hyperlink r:id="rId6" w:tgtFrame="_blank" w:history="1">
              <w:r w:rsidR="00020948" w:rsidRPr="00020948">
                <w:rPr>
                  <w:bdr w:val="none" w:sz="0" w:space="0" w:color="auto" w:frame="1"/>
                </w:rPr>
                <w:t xml:space="preserve">MENG 6110 </w:t>
              </w:r>
            </w:hyperlink>
            <w:r w:rsidR="00020948" w:rsidRPr="00020948">
              <w:t xml:space="preserve">&amp; </w:t>
            </w:r>
            <w:hyperlink r:id="rId7" w:tgtFrame="_blank" w:history="1">
              <w:r w:rsidR="00020948" w:rsidRPr="00020948">
                <w:rPr>
                  <w:bdr w:val="none" w:sz="0" w:space="0" w:color="auto" w:frame="1"/>
                </w:rPr>
                <w:t xml:space="preserve">MENG 6120 </w:t>
              </w:r>
            </w:hyperlink>
          </w:p>
        </w:tc>
        <w:tc>
          <w:tcPr>
            <w:tcW w:w="1789" w:type="dxa"/>
          </w:tcPr>
          <w:p w:rsidR="00020948" w:rsidRPr="00020948" w:rsidRDefault="00020948" w:rsidP="00BE7867">
            <w:r w:rsidRPr="00020948">
              <w:t>Sciences</w:t>
            </w:r>
          </w:p>
        </w:tc>
        <w:tc>
          <w:tcPr>
            <w:tcW w:w="2785" w:type="dxa"/>
          </w:tcPr>
          <w:p w:rsidR="00020948" w:rsidRPr="00020948" w:rsidRDefault="00020948" w:rsidP="00BE7867">
            <w:r w:rsidRPr="00020948">
              <w:t>2600 and 3570 and/or 4570</w:t>
            </w:r>
          </w:p>
        </w:tc>
      </w:tr>
      <w:tr w:rsidR="00020948" w:rsidRPr="00E37ED7" w:rsidTr="00020948">
        <w:tc>
          <w:tcPr>
            <w:tcW w:w="2155" w:type="dxa"/>
          </w:tcPr>
          <w:p w:rsidR="00020948" w:rsidRPr="00020948" w:rsidRDefault="00020948" w:rsidP="00BE7867">
            <w:r w:rsidRPr="00020948">
              <w:t>Foreign Languages</w:t>
            </w:r>
          </w:p>
        </w:tc>
        <w:tc>
          <w:tcPr>
            <w:tcW w:w="2621" w:type="dxa"/>
          </w:tcPr>
          <w:p w:rsidR="00020948" w:rsidRPr="00020948" w:rsidRDefault="002A3306" w:rsidP="00BE7867">
            <w:pPr>
              <w:pStyle w:val="Heading3"/>
              <w:shd w:val="clear" w:color="auto" w:fill="FFFFFF"/>
              <w:ind w:left="0" w:firstLine="0"/>
              <w:textAlignment w:val="baseline"/>
              <w:outlineLvl w:val="2"/>
              <w:rPr>
                <w:rFonts w:ascii="Times New Roman" w:hAnsi="Times New Roman"/>
              </w:rPr>
            </w:pPr>
            <w:hyperlink r:id="rId8" w:history="1">
              <w:r w:rsidR="00020948" w:rsidRPr="00020948">
                <w:rPr>
                  <w:rFonts w:ascii="Times New Roman" w:hAnsi="Times New Roman"/>
                  <w:b w:val="0"/>
                  <w:bdr w:val="none" w:sz="0" w:space="0" w:color="auto" w:frame="1"/>
                  <w:shd w:val="clear" w:color="auto" w:fill="FFFFFF"/>
                </w:rPr>
                <w:t>FL 4400</w:t>
              </w:r>
            </w:hyperlink>
            <w:r w:rsidR="00020948" w:rsidRPr="00020948">
              <w:rPr>
                <w:rFonts w:ascii="Times New Roman" w:hAnsi="Times New Roman"/>
                <w:b w:val="0"/>
              </w:rPr>
              <w:t xml:space="preserve"> or </w:t>
            </w:r>
            <w:r w:rsidR="00020948" w:rsidRPr="00020948">
              <w:rPr>
                <w:rFonts w:ascii="Times New Roman" w:hAnsi="Times New Roman"/>
                <w:b w:val="0"/>
                <w:bCs/>
              </w:rPr>
              <w:t>FL 6500</w:t>
            </w:r>
          </w:p>
        </w:tc>
        <w:tc>
          <w:tcPr>
            <w:tcW w:w="1789" w:type="dxa"/>
          </w:tcPr>
          <w:p w:rsidR="00020948" w:rsidRPr="00020948" w:rsidRDefault="00020948" w:rsidP="00BE7867">
            <w:r w:rsidRPr="00020948">
              <w:t>Theater Arts</w:t>
            </w:r>
          </w:p>
        </w:tc>
        <w:tc>
          <w:tcPr>
            <w:tcW w:w="2785" w:type="dxa"/>
          </w:tcPr>
          <w:p w:rsidR="00020948" w:rsidRPr="00020948" w:rsidRDefault="00020948" w:rsidP="00BE7867">
            <w:r w:rsidRPr="00020948">
              <w:t>THEA 4713</w:t>
            </w:r>
          </w:p>
        </w:tc>
      </w:tr>
      <w:tr w:rsidR="00020948" w:rsidRPr="00E37ED7" w:rsidTr="00020948">
        <w:tc>
          <w:tcPr>
            <w:tcW w:w="2155" w:type="dxa"/>
          </w:tcPr>
          <w:p w:rsidR="00020948" w:rsidRPr="00020948" w:rsidRDefault="00020948" w:rsidP="00BE7867">
            <w:pPr>
              <w:rPr>
                <w:sz w:val="18"/>
                <w:szCs w:val="18"/>
              </w:rPr>
            </w:pPr>
            <w:r w:rsidRPr="00020948">
              <w:rPr>
                <w:sz w:val="18"/>
                <w:szCs w:val="18"/>
              </w:rPr>
              <w:t>History or Social Sciences</w:t>
            </w:r>
          </w:p>
        </w:tc>
        <w:tc>
          <w:tcPr>
            <w:tcW w:w="2621" w:type="dxa"/>
            <w:vAlign w:val="center"/>
          </w:tcPr>
          <w:p w:rsidR="00020948" w:rsidRPr="00020948" w:rsidRDefault="00020948" w:rsidP="00BE7867">
            <w:r w:rsidRPr="00020948">
              <w:t>HIST 4500</w:t>
            </w:r>
          </w:p>
        </w:tc>
        <w:tc>
          <w:tcPr>
            <w:tcW w:w="1789" w:type="dxa"/>
          </w:tcPr>
          <w:p w:rsidR="00020948" w:rsidRPr="00020948" w:rsidRDefault="00020948" w:rsidP="00BE7867"/>
        </w:tc>
        <w:tc>
          <w:tcPr>
            <w:tcW w:w="2785" w:type="dxa"/>
          </w:tcPr>
          <w:p w:rsidR="00020948" w:rsidRPr="00020948" w:rsidRDefault="00020948" w:rsidP="00BE7867"/>
        </w:tc>
      </w:tr>
      <w:tr w:rsidR="00020948" w:rsidRPr="00E37ED7" w:rsidTr="00BE7867">
        <w:tc>
          <w:tcPr>
            <w:tcW w:w="9350" w:type="dxa"/>
            <w:gridSpan w:val="4"/>
          </w:tcPr>
          <w:p w:rsidR="00020948" w:rsidRPr="00020948" w:rsidRDefault="00020948" w:rsidP="00BE7867">
            <w:r w:rsidRPr="00020948">
              <w:t xml:space="preserve">If you took one of these courses or a similar one (at another university) in your undergraduate program, it probably fulfills the requirement.  Please seek confirmation from the program director before assuming that the course will count for your license. </w:t>
            </w:r>
          </w:p>
        </w:tc>
      </w:tr>
    </w:tbl>
    <w:p w:rsidR="00020948" w:rsidRDefault="00020948" w:rsidP="00020948"/>
    <w:p w:rsidR="00020948" w:rsidRDefault="00020948" w:rsidP="00020948">
      <w:pPr>
        <w:jc w:val="center"/>
        <w:rPr>
          <w:b/>
        </w:rPr>
      </w:pPr>
      <w:r>
        <w:rPr>
          <w:b/>
        </w:rPr>
        <w:t>Admission Requirements</w:t>
      </w:r>
    </w:p>
    <w:p w:rsidR="00020948" w:rsidRDefault="00020948" w:rsidP="00020948">
      <w:pPr>
        <w:jc w:val="center"/>
        <w:rPr>
          <w:b/>
        </w:rPr>
      </w:pPr>
    </w:p>
    <w:p w:rsidR="00A8316B" w:rsidRDefault="00020948" w:rsidP="00A8316B">
      <w:pPr>
        <w:pStyle w:val="ListParagraph"/>
        <w:numPr>
          <w:ilvl w:val="0"/>
          <w:numId w:val="2"/>
        </w:numPr>
      </w:pPr>
      <w:r>
        <w:t>Online application form filled out with the $60 fee paid</w:t>
      </w:r>
    </w:p>
    <w:p w:rsidR="00020948" w:rsidRDefault="00020948" w:rsidP="00020948">
      <w:pPr>
        <w:pStyle w:val="ListParagraph"/>
        <w:numPr>
          <w:ilvl w:val="0"/>
          <w:numId w:val="2"/>
        </w:numPr>
      </w:pPr>
      <w:r>
        <w:t>Earned bachelor’s degree</w:t>
      </w:r>
      <w:r w:rsidR="00A8316B">
        <w:t xml:space="preserve"> in a subject taught in Utah schools</w:t>
      </w:r>
      <w:r>
        <w:t xml:space="preserve"> (</w:t>
      </w:r>
      <w:r w:rsidR="00A8316B">
        <w:t xml:space="preserve">or approved coursework leading to an endorsement – </w:t>
      </w:r>
      <w:r>
        <w:t>see program director or administrative assistant for a degree audit)</w:t>
      </w:r>
      <w:r w:rsidR="00A8316B">
        <w:t xml:space="preserve"> – Official transcripts must be sent to MED office</w:t>
      </w:r>
    </w:p>
    <w:p w:rsidR="00A8316B" w:rsidRDefault="00A8316B" w:rsidP="00A8316B">
      <w:pPr>
        <w:pStyle w:val="ListParagraph"/>
        <w:numPr>
          <w:ilvl w:val="1"/>
          <w:numId w:val="2"/>
        </w:numPr>
      </w:pPr>
      <w:r>
        <w:t>Cumulative GPA of 3.0 or better – GPA below 3.0 will not be considered</w:t>
      </w:r>
    </w:p>
    <w:p w:rsidR="00A8316B" w:rsidRDefault="00A8316B" w:rsidP="00020948">
      <w:pPr>
        <w:pStyle w:val="ListParagraph"/>
        <w:numPr>
          <w:ilvl w:val="0"/>
          <w:numId w:val="2"/>
        </w:numPr>
      </w:pPr>
      <w:r>
        <w:t>Content Praxis test passed</w:t>
      </w:r>
    </w:p>
    <w:p w:rsidR="00A8316B" w:rsidRDefault="00A8316B" w:rsidP="00020948">
      <w:pPr>
        <w:pStyle w:val="ListParagraph"/>
        <w:numPr>
          <w:ilvl w:val="0"/>
          <w:numId w:val="2"/>
        </w:numPr>
      </w:pPr>
      <w:r>
        <w:t>USOE background check</w:t>
      </w:r>
    </w:p>
    <w:p w:rsidR="00A8316B" w:rsidRDefault="00A8316B" w:rsidP="00020948">
      <w:pPr>
        <w:pStyle w:val="ListParagraph"/>
        <w:numPr>
          <w:ilvl w:val="0"/>
          <w:numId w:val="2"/>
        </w:numPr>
      </w:pPr>
      <w:r>
        <w:t>Recommendation forms (3)</w:t>
      </w:r>
    </w:p>
    <w:p w:rsidR="00A8316B" w:rsidRDefault="00A8316B" w:rsidP="00020948">
      <w:pPr>
        <w:pStyle w:val="ListParagraph"/>
        <w:numPr>
          <w:ilvl w:val="0"/>
          <w:numId w:val="2"/>
        </w:numPr>
      </w:pPr>
      <w:r>
        <w:t>Group interview</w:t>
      </w:r>
    </w:p>
    <w:p w:rsidR="00A8316B" w:rsidRDefault="00A8316B" w:rsidP="00A8316B">
      <w:pPr>
        <w:pStyle w:val="ListParagraph"/>
        <w:ind w:left="360"/>
        <w:jc w:val="center"/>
      </w:pPr>
      <w:r>
        <w:t xml:space="preserve">Detailed explanations of each of these are in the </w:t>
      </w:r>
      <w:r w:rsidRPr="00A8316B">
        <w:rPr>
          <w:i/>
        </w:rPr>
        <w:t>GCT Student Handbook.</w:t>
      </w:r>
    </w:p>
    <w:sectPr w:rsidR="00A8316B" w:rsidSect="000209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762A"/>
    <w:multiLevelType w:val="multilevel"/>
    <w:tmpl w:val="0C10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7583C"/>
    <w:multiLevelType w:val="hybridMultilevel"/>
    <w:tmpl w:val="8B18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48"/>
    <w:rsid w:val="00020948"/>
    <w:rsid w:val="002A3306"/>
    <w:rsid w:val="006325B9"/>
    <w:rsid w:val="00A8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30B8A-2E95-4DB0-941E-44946DDD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48"/>
    <w:pPr>
      <w:spacing w:line="240" w:lineRule="auto"/>
      <w:ind w:firstLine="0"/>
    </w:pPr>
    <w:rPr>
      <w:rFonts w:eastAsia="Times New Roman" w:cs="Times New Roman"/>
      <w:szCs w:val="20"/>
    </w:rPr>
  </w:style>
  <w:style w:type="paragraph" w:styleId="Heading3">
    <w:name w:val="heading 3"/>
    <w:basedOn w:val="Normal"/>
    <w:next w:val="Normal"/>
    <w:link w:val="Heading3Char"/>
    <w:uiPriority w:val="9"/>
    <w:qFormat/>
    <w:rsid w:val="00020948"/>
    <w:pPr>
      <w:keepNext/>
      <w:tabs>
        <w:tab w:val="left" w:pos="8100"/>
      </w:tabs>
      <w:ind w:left="5040" w:firstLine="180"/>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0948"/>
    <w:rPr>
      <w:i/>
      <w:iCs/>
    </w:rPr>
  </w:style>
  <w:style w:type="character" w:customStyle="1" w:styleId="Heading3Char">
    <w:name w:val="Heading 3 Char"/>
    <w:basedOn w:val="DefaultParagraphFont"/>
    <w:link w:val="Heading3"/>
    <w:uiPriority w:val="9"/>
    <w:rsid w:val="00020948"/>
    <w:rPr>
      <w:rFonts w:ascii="Times" w:eastAsia="Times New Roman" w:hAnsi="Times" w:cs="Times New Roman"/>
      <w:b/>
      <w:szCs w:val="20"/>
    </w:rPr>
  </w:style>
  <w:style w:type="character" w:styleId="Hyperlink">
    <w:name w:val="Hyperlink"/>
    <w:basedOn w:val="DefaultParagraphFont"/>
    <w:uiPriority w:val="99"/>
    <w:rsid w:val="00020948"/>
    <w:rPr>
      <w:color w:val="0000FF"/>
      <w:u w:val="single"/>
    </w:rPr>
  </w:style>
  <w:style w:type="table" w:styleId="TableGrid">
    <w:name w:val="Table Grid"/>
    <w:basedOn w:val="TableNormal"/>
    <w:uiPriority w:val="39"/>
    <w:rsid w:val="00020948"/>
    <w:pPr>
      <w:spacing w:line="240" w:lineRule="auto"/>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948"/>
    <w:pPr>
      <w:ind w:left="720"/>
      <w:contextualSpacing/>
    </w:pPr>
  </w:style>
  <w:style w:type="paragraph" w:styleId="BalloonText">
    <w:name w:val="Balloon Text"/>
    <w:basedOn w:val="Normal"/>
    <w:link w:val="BalloonTextChar"/>
    <w:uiPriority w:val="99"/>
    <w:semiHidden/>
    <w:unhideWhenUsed/>
    <w:rsid w:val="002A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9&amp;poid=3666&amp;returnto=1883" TargetMode="External"/><Relationship Id="rId3" Type="http://schemas.openxmlformats.org/officeDocument/2006/relationships/settings" Target="settings.xml"/><Relationship Id="rId7" Type="http://schemas.openxmlformats.org/officeDocument/2006/relationships/hyperlink" Target="http://catalog.weber.edu/preview_course_nopop.php?catoid=9&amp;coid=33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eber.edu/preview_course_nopop.php?catoid=9&amp;coid=30605" TargetMode="External"/><Relationship Id="rId5" Type="http://schemas.openxmlformats.org/officeDocument/2006/relationships/hyperlink" Target="http://catalog.weber.edu/preview_program.php?catoid=9&amp;poid=38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Saunders</dc:creator>
  <cp:keywords/>
  <dc:description/>
  <cp:lastModifiedBy>Melinda Bowers</cp:lastModifiedBy>
  <cp:revision>2</cp:revision>
  <cp:lastPrinted>2016-03-22T22:32:00Z</cp:lastPrinted>
  <dcterms:created xsi:type="dcterms:W3CDTF">2016-03-22T22:32:00Z</dcterms:created>
  <dcterms:modified xsi:type="dcterms:W3CDTF">2016-03-22T22:32:00Z</dcterms:modified>
</cp:coreProperties>
</file>